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46"/>
      </w:tblGrid>
      <w:tr w:rsidR="00627D75" w:rsidRPr="00D245DE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D245DE" w:rsidRDefault="00E02F34" w:rsidP="0085017D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D245DE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D245DE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D245DE">
              <w:rPr>
                <w:rFonts w:ascii="Arial" w:hAnsi="Arial" w:cs="Arial"/>
                <w:sz w:val="20"/>
                <w:szCs w:val="20"/>
              </w:rPr>
              <w:t xml:space="preserve"> podmínky </w:t>
            </w:r>
          </w:p>
        </w:tc>
      </w:tr>
    </w:tbl>
    <w:p w:rsidR="00C052D9" w:rsidRPr="00D245DE" w:rsidRDefault="00C052D9" w:rsidP="00CE4F6E">
      <w:pPr>
        <w:tabs>
          <w:tab w:val="left" w:pos="1134"/>
        </w:tabs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C052D9" w:rsidRPr="00D245DE" w:rsidRDefault="00C052D9" w:rsidP="00C052D9">
      <w:pPr>
        <w:rPr>
          <w:rFonts w:ascii="Arial" w:eastAsia="Times New Roman" w:hAnsi="Arial" w:cs="Arial"/>
          <w:sz w:val="20"/>
          <w:szCs w:val="20"/>
          <w:lang w:eastAsia="cs-CZ"/>
        </w:rPr>
      </w:pPr>
    </w:p>
    <w:p w:rsidR="00D245DE" w:rsidRPr="00D245DE" w:rsidRDefault="00D245DE" w:rsidP="00D245DE">
      <w:pPr>
        <w:tabs>
          <w:tab w:val="left" w:pos="1134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D245DE">
        <w:rPr>
          <w:rFonts w:ascii="Arial" w:eastAsia="Times New Roman" w:hAnsi="Arial" w:cs="Arial"/>
          <w:b/>
          <w:sz w:val="20"/>
          <w:szCs w:val="20"/>
          <w:lang w:eastAsia="cs-CZ"/>
        </w:rPr>
        <w:t>„III/11271 Meziříčko – most ev. č. 11271-2“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Stavba se nachází v </w:t>
      </w:r>
      <w:proofErr w:type="spellStart"/>
      <w:r w:rsidRPr="00D245DE">
        <w:rPr>
          <w:rFonts w:ascii="Arial" w:eastAsia="Arial" w:hAnsi="Arial" w:cs="Arial"/>
          <w:bCs/>
          <w:sz w:val="20"/>
          <w:szCs w:val="20"/>
        </w:rPr>
        <w:t>extravilánu</w:t>
      </w:r>
      <w:proofErr w:type="spellEnd"/>
      <w:r w:rsidRPr="00D245DE">
        <w:rPr>
          <w:rFonts w:ascii="Arial" w:eastAsia="Arial" w:hAnsi="Arial" w:cs="Arial"/>
          <w:bCs/>
          <w:sz w:val="20"/>
          <w:szCs w:val="20"/>
        </w:rPr>
        <w:t xml:space="preserve"> mezi obcemi Meziříčko a Krasonice. Most převádí komunikaci třetí třídy III/11271 přes řeku Želetavka. V souvislosti s rekonstrukcí mostu (SO 201 – hlavní objekt stavby) souvisí i úprava komunikace III/11271 v přilehlých úsecích před a za mostem. Bude provedena úprava v minimálním rozsahu před a za mostem, za podmínky provedení plynulého napojení na stávající stav.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  <w:highlight w:val="yellow"/>
        </w:rPr>
      </w:pP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Stávající most je </w:t>
      </w:r>
      <w:proofErr w:type="spellStart"/>
      <w:r w:rsidRPr="00D245DE">
        <w:rPr>
          <w:rFonts w:ascii="Arial" w:eastAsia="Arial" w:hAnsi="Arial" w:cs="Arial"/>
          <w:bCs/>
          <w:sz w:val="20"/>
          <w:szCs w:val="20"/>
        </w:rPr>
        <w:t>jednopolový</w:t>
      </w:r>
      <w:proofErr w:type="spellEnd"/>
      <w:r w:rsidRPr="00D245DE">
        <w:rPr>
          <w:rFonts w:ascii="Arial" w:eastAsia="Arial" w:hAnsi="Arial" w:cs="Arial"/>
          <w:bCs/>
          <w:sz w:val="20"/>
          <w:szCs w:val="20"/>
        </w:rPr>
        <w:t xml:space="preserve"> s délkou přemostění 5 m. Nosná konstrukce mostu je tvořena železobetonovými nosníky ŽMP 62 50/50, stavební výška mostu je cca 890 mm. Nosná konstrukce je uložena na masivních betonových opěrách. Křídla jsou železobetonová rovnoběžná s betonovou římsou. Šířka komunikace na mostě mezi římsami je 6,4 m.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>Stav nosné konstrukce byl zatříděn klasifikačním stupněm V – špatný stav, stavební stav spodní stavby odpovídá klasifikačnímu stupni IV – uspokojivý stav.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</w:p>
    <w:p w:rsidR="00D245DE" w:rsidRPr="00D245DE" w:rsidRDefault="00D245DE" w:rsidP="00D245DE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D245DE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Členění stavby:</w:t>
      </w:r>
    </w:p>
    <w:p w:rsidR="00D245DE" w:rsidRPr="00D245DE" w:rsidRDefault="00D245DE" w:rsidP="00D245DE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D245DE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SO 000 Vedlejší a ostatní náklady</w:t>
      </w:r>
    </w:p>
    <w:p w:rsidR="00D245DE" w:rsidRPr="00D245DE" w:rsidRDefault="00D245DE" w:rsidP="00D245DE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D245DE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SO 001 Demolice mostu</w:t>
      </w:r>
    </w:p>
    <w:p w:rsidR="00D245DE" w:rsidRPr="00D245DE" w:rsidRDefault="00D245DE" w:rsidP="00D245DE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D245DE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SO 101 Úprava komunikace III/11271</w:t>
      </w:r>
    </w:p>
    <w:p w:rsidR="00D245DE" w:rsidRPr="00D245DE" w:rsidRDefault="00D245DE" w:rsidP="00D245DE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D245DE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SO 181 Dopravně inženýrská opatření</w:t>
      </w:r>
    </w:p>
    <w:p w:rsidR="00D245DE" w:rsidRPr="00D245DE" w:rsidRDefault="00D245DE" w:rsidP="00D245DE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245DE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SO 201 Most ev. č. 11271-2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</w:p>
    <w:p w:rsidR="00D245DE" w:rsidRPr="00D245DE" w:rsidRDefault="00D245DE" w:rsidP="00D245DE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</w:pPr>
      <w:r w:rsidRPr="00D245DE"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  <w:t>SO 000 Vedlejší a ostatní náklady</w:t>
      </w:r>
    </w:p>
    <w:p w:rsidR="00D245DE" w:rsidRPr="00D245DE" w:rsidRDefault="00D245DE" w:rsidP="00D245DE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D245DE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Součástí těchto prací jsou geodetická měření, zařízení staveniště, vypracování povodňového a havarijního plánu, dokumentace RDS, DSPS, mostního listu a HMP, zkoušení materiálů, konstrukcí a prací, geotechnický dozor, pasport objízdných tras stavby (před a po stavbě), vč. opravy případných poruch na objízdných komunikacích. Zpracování Geometrického plánu.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>Dle vyjádření správců inženýrských sítí platných v době zpracování projektu a na základě aktualizace inženýrských sítí 01/2026 neprochází prostorem stavby inženýrské sítě. Před zahájením prací je nutné zažádat o aktualizovaná vyjádření a případně provést vytyčení všech inženýrských sítí, které se v oblasti stavby nacházejí, a po celou dobu výstavby dbát zvýšené opatrnosti při provádění prací v blízkosti těchto sítí.</w:t>
      </w:r>
      <w:bookmarkStart w:id="0" w:name="_GoBack"/>
      <w:bookmarkEnd w:id="0"/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 w:rsidRPr="00D245DE">
        <w:rPr>
          <w:rFonts w:ascii="Arial" w:eastAsia="Arial" w:hAnsi="Arial" w:cs="Arial"/>
          <w:b/>
          <w:bCs/>
          <w:sz w:val="20"/>
          <w:szCs w:val="20"/>
          <w:u w:val="single"/>
        </w:rPr>
        <w:t>SO 001 Demolice mostu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V rámci objektu bude provedena demolice stávajícího mostního objektu včetně spodní stavby. Před stavbou bude provedeno vykácení náletové a keřové zeleně a 19 kusů stromů. </w:t>
      </w:r>
      <w:r w:rsidRPr="00D245DE">
        <w:rPr>
          <w:rFonts w:ascii="Arial" w:eastAsia="Arial" w:hAnsi="Arial" w:cs="Arial"/>
          <w:b/>
          <w:bCs/>
          <w:sz w:val="20"/>
          <w:szCs w:val="20"/>
        </w:rPr>
        <w:t>Kácení stromů není součástí prací zhotovitele, kácení stromů provede na vlastní náklady KSÚSV, p. o. Součástí prací zhotovitele bude odstranění pařezů.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</w:p>
    <w:p w:rsidR="00D245DE" w:rsidRPr="00D245DE" w:rsidRDefault="00D245DE" w:rsidP="00D245DE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</w:pPr>
      <w:r w:rsidRPr="00D245DE"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  <w:t>SO 101 Úprava komunikace III/11271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Komunikace bude rozšířena na kategorii S 6,5 s rozšířením v oblouku R=188 m. Na začátku a konci pak bude plynule navazovat na stávající stav. Na nezpevněnou lesní cestu bude napojen sjezd.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Stávající asfaltové souvrství bude odfrézováno a konstrukce odtěžena. Na krajích bude odtěžena část násypu, aby mohlo dojít k rozšíření konstrukce vozovky. Asfaltové souvrství je dle výsledků na PAU kategorizováno na ZAS – T4 – materiál bude využit do sanace aktivní zóny – vrstva recyklace za studena. Bude provedeno i kácení několika stromů – není součástí tohoto objektu a prací zhotovitele.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Silniční zařízení, svodidla, zábradlí a dopravní značení bude odstraněno. Stávající podkladní vrstvy i podloží bude odtěženo po úroveň nové </w:t>
      </w:r>
      <w:proofErr w:type="spellStart"/>
      <w:r w:rsidRPr="00D245DE">
        <w:rPr>
          <w:rFonts w:ascii="Arial" w:eastAsia="Arial" w:hAnsi="Arial" w:cs="Arial"/>
          <w:bCs/>
          <w:sz w:val="20"/>
          <w:szCs w:val="20"/>
        </w:rPr>
        <w:t>parapláně</w:t>
      </w:r>
      <w:proofErr w:type="spellEnd"/>
      <w:r w:rsidRPr="00D245DE">
        <w:rPr>
          <w:rFonts w:ascii="Arial" w:eastAsia="Arial" w:hAnsi="Arial" w:cs="Arial"/>
          <w:bCs/>
          <w:sz w:val="20"/>
          <w:szCs w:val="20"/>
        </w:rPr>
        <w:t>. Vytěžený materiál může být po vhodném zatřízení splňujícím podmínky použit jako podkladní vrstva MZ a případně i do násypového tělesa.</w:t>
      </w:r>
    </w:p>
    <w:p w:rsidR="00D245DE" w:rsidRPr="00D245DE" w:rsidRDefault="00D245DE" w:rsidP="00D245DE">
      <w:pPr>
        <w:spacing w:before="120"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u w:val="single"/>
          <w:lang w:eastAsia="cs-CZ"/>
        </w:rPr>
      </w:pPr>
      <w:r w:rsidRPr="00D245DE">
        <w:rPr>
          <w:rFonts w:ascii="Arial" w:eastAsia="Times New Roman" w:hAnsi="Arial" w:cs="Arial"/>
          <w:bCs/>
          <w:iCs/>
          <w:sz w:val="20"/>
          <w:szCs w:val="20"/>
          <w:u w:val="single"/>
          <w:lang w:eastAsia="cs-CZ"/>
        </w:rPr>
        <w:t>Konstrukce skladby asfaltové vozovky na silnici III/11271 dle TP 170 (D1-N-3 TDZ IV PII):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D245DE">
        <w:rPr>
          <w:rFonts w:ascii="Arial" w:hAnsi="Arial" w:cs="Arial"/>
          <w:sz w:val="20"/>
          <w:szCs w:val="20"/>
          <w:lang w:eastAsia="cs-CZ"/>
        </w:rPr>
        <w:t xml:space="preserve">ACO 11+ 50/70 </w:t>
      </w:r>
      <w:r w:rsidRPr="00D245DE">
        <w:rPr>
          <w:rFonts w:ascii="Arial" w:hAnsi="Arial" w:cs="Arial"/>
          <w:sz w:val="20"/>
          <w:szCs w:val="20"/>
          <w:lang w:eastAsia="cs-CZ"/>
        </w:rPr>
        <w:tab/>
        <w:t xml:space="preserve">40 mm </w:t>
      </w:r>
      <w:r w:rsidRPr="00D245DE">
        <w:rPr>
          <w:rFonts w:ascii="Arial" w:hAnsi="Arial" w:cs="Arial"/>
          <w:sz w:val="20"/>
          <w:szCs w:val="20"/>
          <w:lang w:eastAsia="cs-CZ"/>
        </w:rPr>
        <w:tab/>
        <w:t xml:space="preserve">asfaltový beton pro obrusné vrstvy </w:t>
      </w:r>
      <w:r w:rsidRPr="00D245DE">
        <w:rPr>
          <w:rFonts w:ascii="Arial" w:hAnsi="Arial" w:cs="Arial"/>
          <w:sz w:val="20"/>
          <w:szCs w:val="20"/>
          <w:lang w:eastAsia="cs-CZ"/>
        </w:rPr>
        <w:tab/>
        <w:t>ČSN EN 13108-1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D245DE">
        <w:rPr>
          <w:rFonts w:ascii="Arial" w:hAnsi="Arial" w:cs="Arial"/>
          <w:sz w:val="20"/>
          <w:szCs w:val="20"/>
          <w:lang w:eastAsia="cs-CZ"/>
        </w:rPr>
        <w:t xml:space="preserve">PS-C 50 B5 </w:t>
      </w:r>
      <w:r w:rsidRPr="00D245DE">
        <w:rPr>
          <w:rFonts w:ascii="Arial" w:hAnsi="Arial" w:cs="Arial"/>
          <w:sz w:val="20"/>
          <w:szCs w:val="20"/>
          <w:lang w:eastAsia="cs-CZ"/>
        </w:rPr>
        <w:tab/>
      </w:r>
      <w:r w:rsidRPr="00D245DE">
        <w:rPr>
          <w:rFonts w:ascii="Arial" w:hAnsi="Arial" w:cs="Arial"/>
          <w:sz w:val="20"/>
          <w:szCs w:val="20"/>
          <w:lang w:eastAsia="cs-CZ"/>
        </w:rPr>
        <w:tab/>
        <w:t xml:space="preserve">0,3 kg/m2 </w:t>
      </w:r>
      <w:r w:rsidRPr="00D245DE">
        <w:rPr>
          <w:rFonts w:ascii="Arial" w:hAnsi="Arial" w:cs="Arial"/>
          <w:sz w:val="20"/>
          <w:szCs w:val="20"/>
          <w:lang w:eastAsia="cs-CZ"/>
        </w:rPr>
        <w:tab/>
        <w:t xml:space="preserve">spojovací postřik asfaltovou emulzí </w:t>
      </w:r>
      <w:r w:rsidRPr="00D245DE">
        <w:rPr>
          <w:rFonts w:ascii="Arial" w:hAnsi="Arial" w:cs="Arial"/>
          <w:sz w:val="20"/>
          <w:szCs w:val="20"/>
          <w:lang w:eastAsia="cs-CZ"/>
        </w:rPr>
        <w:tab/>
        <w:t>ČSN 73 6129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D245DE">
        <w:rPr>
          <w:rFonts w:ascii="Arial" w:hAnsi="Arial" w:cs="Arial"/>
          <w:sz w:val="20"/>
          <w:szCs w:val="20"/>
          <w:lang w:eastAsia="cs-CZ"/>
        </w:rPr>
        <w:t xml:space="preserve">ACL 16+ 50/70 </w:t>
      </w:r>
      <w:r w:rsidRPr="00D245DE">
        <w:rPr>
          <w:rFonts w:ascii="Arial" w:hAnsi="Arial" w:cs="Arial"/>
          <w:sz w:val="20"/>
          <w:szCs w:val="20"/>
          <w:lang w:eastAsia="cs-CZ"/>
        </w:rPr>
        <w:tab/>
        <w:t xml:space="preserve">60 mm </w:t>
      </w:r>
      <w:r w:rsidRPr="00D245DE">
        <w:rPr>
          <w:rFonts w:ascii="Arial" w:hAnsi="Arial" w:cs="Arial"/>
          <w:sz w:val="20"/>
          <w:szCs w:val="20"/>
          <w:lang w:eastAsia="cs-CZ"/>
        </w:rPr>
        <w:tab/>
        <w:t xml:space="preserve">asfaltový beton pro obrusné vrstvy </w:t>
      </w:r>
      <w:r w:rsidRPr="00D245DE">
        <w:rPr>
          <w:rFonts w:ascii="Arial" w:hAnsi="Arial" w:cs="Arial"/>
          <w:sz w:val="20"/>
          <w:szCs w:val="20"/>
          <w:lang w:eastAsia="cs-CZ"/>
        </w:rPr>
        <w:tab/>
        <w:t>ČSN EN 13108-1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D245DE">
        <w:rPr>
          <w:rFonts w:ascii="Arial" w:hAnsi="Arial" w:cs="Arial"/>
          <w:sz w:val="20"/>
          <w:szCs w:val="20"/>
          <w:lang w:eastAsia="cs-CZ"/>
        </w:rPr>
        <w:t xml:space="preserve">PS-C 50 B5 </w:t>
      </w:r>
      <w:r w:rsidRPr="00D245DE">
        <w:rPr>
          <w:rFonts w:ascii="Arial" w:hAnsi="Arial" w:cs="Arial"/>
          <w:sz w:val="20"/>
          <w:szCs w:val="20"/>
          <w:lang w:eastAsia="cs-CZ"/>
        </w:rPr>
        <w:tab/>
      </w:r>
      <w:r w:rsidRPr="00D245DE">
        <w:rPr>
          <w:rFonts w:ascii="Arial" w:hAnsi="Arial" w:cs="Arial"/>
          <w:sz w:val="20"/>
          <w:szCs w:val="20"/>
          <w:lang w:eastAsia="cs-CZ"/>
        </w:rPr>
        <w:tab/>
        <w:t xml:space="preserve">0,3 kg/m2 </w:t>
      </w:r>
      <w:r w:rsidRPr="00D245DE">
        <w:rPr>
          <w:rFonts w:ascii="Arial" w:hAnsi="Arial" w:cs="Arial"/>
          <w:sz w:val="20"/>
          <w:szCs w:val="20"/>
          <w:lang w:eastAsia="cs-CZ"/>
        </w:rPr>
        <w:tab/>
        <w:t xml:space="preserve">spojovací postřik asfaltovou emulzí </w:t>
      </w:r>
      <w:r w:rsidRPr="00D245DE">
        <w:rPr>
          <w:rFonts w:ascii="Arial" w:hAnsi="Arial" w:cs="Arial"/>
          <w:sz w:val="20"/>
          <w:szCs w:val="20"/>
          <w:lang w:eastAsia="cs-CZ"/>
        </w:rPr>
        <w:tab/>
        <w:t>ČSN 73 6129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D245DE">
        <w:rPr>
          <w:rFonts w:ascii="Arial" w:hAnsi="Arial" w:cs="Arial"/>
          <w:sz w:val="20"/>
          <w:szCs w:val="20"/>
          <w:lang w:eastAsia="cs-CZ"/>
        </w:rPr>
        <w:lastRenderedPageBreak/>
        <w:t xml:space="preserve">ACP 16+ 50/70 </w:t>
      </w:r>
      <w:r w:rsidRPr="00D245DE">
        <w:rPr>
          <w:rFonts w:ascii="Arial" w:hAnsi="Arial" w:cs="Arial"/>
          <w:sz w:val="20"/>
          <w:szCs w:val="20"/>
          <w:lang w:eastAsia="cs-CZ"/>
        </w:rPr>
        <w:tab/>
        <w:t xml:space="preserve">50 mm </w:t>
      </w:r>
      <w:r w:rsidRPr="00D245DE">
        <w:rPr>
          <w:rFonts w:ascii="Arial" w:hAnsi="Arial" w:cs="Arial"/>
          <w:sz w:val="20"/>
          <w:szCs w:val="20"/>
          <w:lang w:eastAsia="cs-CZ"/>
        </w:rPr>
        <w:tab/>
        <w:t>asfaltový beton pro podkladní vrstvy ČSN EN 13108-1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D245DE">
        <w:rPr>
          <w:rFonts w:ascii="Arial" w:hAnsi="Arial" w:cs="Arial"/>
          <w:sz w:val="20"/>
          <w:szCs w:val="20"/>
          <w:lang w:eastAsia="cs-CZ"/>
        </w:rPr>
        <w:t xml:space="preserve">PI-C 50 BP3 </w:t>
      </w:r>
      <w:r w:rsidRPr="00D245DE">
        <w:rPr>
          <w:rFonts w:ascii="Arial" w:hAnsi="Arial" w:cs="Arial"/>
          <w:sz w:val="20"/>
          <w:szCs w:val="20"/>
          <w:lang w:eastAsia="cs-CZ"/>
        </w:rPr>
        <w:tab/>
      </w:r>
      <w:r w:rsidRPr="00D245DE">
        <w:rPr>
          <w:rFonts w:ascii="Arial" w:hAnsi="Arial" w:cs="Arial"/>
          <w:sz w:val="20"/>
          <w:szCs w:val="20"/>
          <w:lang w:eastAsia="cs-CZ"/>
        </w:rPr>
        <w:tab/>
        <w:t xml:space="preserve">0,6 kg/m2 </w:t>
      </w:r>
      <w:r w:rsidRPr="00D245DE">
        <w:rPr>
          <w:rFonts w:ascii="Arial" w:hAnsi="Arial" w:cs="Arial"/>
          <w:sz w:val="20"/>
          <w:szCs w:val="20"/>
          <w:lang w:eastAsia="cs-CZ"/>
        </w:rPr>
        <w:tab/>
        <w:t xml:space="preserve">infiltrační postřik asfaltovou emulzí </w:t>
      </w:r>
      <w:r w:rsidRPr="00D245DE">
        <w:rPr>
          <w:rFonts w:ascii="Arial" w:hAnsi="Arial" w:cs="Arial"/>
          <w:sz w:val="20"/>
          <w:szCs w:val="20"/>
          <w:lang w:eastAsia="cs-CZ"/>
        </w:rPr>
        <w:tab/>
        <w:t>ČSN 73 6129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D245DE">
        <w:rPr>
          <w:rFonts w:ascii="Arial" w:hAnsi="Arial" w:cs="Arial"/>
          <w:sz w:val="20"/>
          <w:szCs w:val="20"/>
          <w:lang w:eastAsia="cs-CZ"/>
        </w:rPr>
        <w:t xml:space="preserve">ŠDA 0/32 </w:t>
      </w:r>
      <w:r w:rsidRPr="00D245DE">
        <w:rPr>
          <w:rFonts w:ascii="Arial" w:hAnsi="Arial" w:cs="Arial"/>
          <w:sz w:val="20"/>
          <w:szCs w:val="20"/>
          <w:lang w:eastAsia="cs-CZ"/>
        </w:rPr>
        <w:tab/>
      </w:r>
      <w:r w:rsidRPr="00D245DE">
        <w:rPr>
          <w:rFonts w:ascii="Arial" w:hAnsi="Arial" w:cs="Arial"/>
          <w:sz w:val="20"/>
          <w:szCs w:val="20"/>
          <w:lang w:eastAsia="cs-CZ"/>
        </w:rPr>
        <w:tab/>
        <w:t xml:space="preserve">150 mm </w:t>
      </w:r>
      <w:r w:rsidRPr="00D245DE">
        <w:rPr>
          <w:rFonts w:ascii="Arial" w:hAnsi="Arial" w:cs="Arial"/>
          <w:sz w:val="20"/>
          <w:szCs w:val="20"/>
          <w:lang w:eastAsia="cs-CZ"/>
        </w:rPr>
        <w:tab/>
      </w:r>
      <w:proofErr w:type="spellStart"/>
      <w:r w:rsidRPr="00D245DE">
        <w:rPr>
          <w:rFonts w:ascii="Arial" w:hAnsi="Arial" w:cs="Arial"/>
          <w:sz w:val="20"/>
          <w:szCs w:val="20"/>
          <w:lang w:eastAsia="cs-CZ"/>
        </w:rPr>
        <w:t>štěrkodrť</w:t>
      </w:r>
      <w:proofErr w:type="spellEnd"/>
      <w:r w:rsidRPr="00D245DE">
        <w:rPr>
          <w:rFonts w:ascii="Arial" w:hAnsi="Arial" w:cs="Arial"/>
          <w:sz w:val="20"/>
          <w:szCs w:val="20"/>
          <w:lang w:eastAsia="cs-CZ"/>
        </w:rPr>
        <w:t xml:space="preserve"> frakce 0/32 </w:t>
      </w:r>
      <w:r w:rsidRPr="00D245DE">
        <w:rPr>
          <w:rFonts w:ascii="Arial" w:hAnsi="Arial" w:cs="Arial"/>
          <w:sz w:val="20"/>
          <w:szCs w:val="20"/>
          <w:lang w:eastAsia="cs-CZ"/>
        </w:rPr>
        <w:tab/>
      </w:r>
      <w:r w:rsidRPr="00D245DE">
        <w:rPr>
          <w:rFonts w:ascii="Arial" w:hAnsi="Arial" w:cs="Arial"/>
          <w:sz w:val="20"/>
          <w:szCs w:val="20"/>
          <w:lang w:eastAsia="cs-CZ"/>
        </w:rPr>
        <w:tab/>
        <w:t>ČSN EN 13285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D245DE">
        <w:rPr>
          <w:rFonts w:ascii="Arial" w:hAnsi="Arial" w:cs="Arial"/>
          <w:sz w:val="20"/>
          <w:szCs w:val="20"/>
          <w:lang w:eastAsia="cs-CZ"/>
        </w:rPr>
        <w:t xml:space="preserve">ŠDB 0/63 </w:t>
      </w:r>
      <w:r w:rsidRPr="00D245DE">
        <w:rPr>
          <w:rFonts w:ascii="Arial" w:hAnsi="Arial" w:cs="Arial"/>
          <w:sz w:val="20"/>
          <w:szCs w:val="20"/>
          <w:lang w:eastAsia="cs-CZ"/>
        </w:rPr>
        <w:tab/>
      </w:r>
      <w:r w:rsidRPr="00D245DE">
        <w:rPr>
          <w:rFonts w:ascii="Arial" w:hAnsi="Arial" w:cs="Arial"/>
          <w:sz w:val="20"/>
          <w:szCs w:val="20"/>
          <w:lang w:eastAsia="cs-CZ"/>
        </w:rPr>
        <w:tab/>
        <w:t xml:space="preserve">150 mm </w:t>
      </w:r>
      <w:r w:rsidRPr="00D245DE">
        <w:rPr>
          <w:rFonts w:ascii="Arial" w:hAnsi="Arial" w:cs="Arial"/>
          <w:sz w:val="20"/>
          <w:szCs w:val="20"/>
          <w:lang w:eastAsia="cs-CZ"/>
        </w:rPr>
        <w:tab/>
      </w:r>
      <w:proofErr w:type="spellStart"/>
      <w:r w:rsidRPr="00D245DE">
        <w:rPr>
          <w:rFonts w:ascii="Arial" w:hAnsi="Arial" w:cs="Arial"/>
          <w:sz w:val="20"/>
          <w:szCs w:val="20"/>
          <w:lang w:eastAsia="cs-CZ"/>
        </w:rPr>
        <w:t>štěrkodrť</w:t>
      </w:r>
      <w:proofErr w:type="spellEnd"/>
      <w:r w:rsidRPr="00D245DE">
        <w:rPr>
          <w:rFonts w:ascii="Arial" w:hAnsi="Arial" w:cs="Arial"/>
          <w:sz w:val="20"/>
          <w:szCs w:val="20"/>
          <w:lang w:eastAsia="cs-CZ"/>
        </w:rPr>
        <w:t xml:space="preserve"> frakce 0/63 </w:t>
      </w:r>
      <w:r w:rsidRPr="00D245DE">
        <w:rPr>
          <w:rFonts w:ascii="Arial" w:hAnsi="Arial" w:cs="Arial"/>
          <w:sz w:val="20"/>
          <w:szCs w:val="20"/>
          <w:lang w:eastAsia="cs-CZ"/>
        </w:rPr>
        <w:tab/>
      </w:r>
      <w:r w:rsidRPr="00D245DE">
        <w:rPr>
          <w:rFonts w:ascii="Arial" w:hAnsi="Arial" w:cs="Arial"/>
          <w:sz w:val="20"/>
          <w:szCs w:val="20"/>
          <w:lang w:eastAsia="cs-CZ"/>
        </w:rPr>
        <w:tab/>
        <w:t>ČSN EN 13285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245DE">
        <w:rPr>
          <w:rFonts w:ascii="Arial" w:hAnsi="Arial" w:cs="Arial"/>
          <w:bCs/>
          <w:sz w:val="20"/>
          <w:szCs w:val="20"/>
          <w:lang w:eastAsia="cs-CZ"/>
        </w:rPr>
        <w:t xml:space="preserve">Celkem </w:t>
      </w:r>
      <w:r w:rsidRPr="00D245DE">
        <w:rPr>
          <w:rFonts w:ascii="Arial" w:hAnsi="Arial" w:cs="Arial"/>
          <w:bCs/>
          <w:sz w:val="20"/>
          <w:szCs w:val="20"/>
          <w:lang w:eastAsia="cs-CZ"/>
        </w:rPr>
        <w:tab/>
      </w:r>
      <w:r w:rsidRPr="00D245DE">
        <w:rPr>
          <w:rFonts w:ascii="Arial" w:hAnsi="Arial" w:cs="Arial"/>
          <w:bCs/>
          <w:sz w:val="20"/>
          <w:szCs w:val="20"/>
          <w:lang w:eastAsia="cs-CZ"/>
        </w:rPr>
        <w:tab/>
        <w:t>450 mm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D245DE">
        <w:rPr>
          <w:rFonts w:ascii="Arial" w:hAnsi="Arial" w:cs="Arial"/>
          <w:sz w:val="20"/>
          <w:szCs w:val="20"/>
          <w:lang w:eastAsia="cs-CZ"/>
        </w:rPr>
        <w:t xml:space="preserve">Na úrovni zemní pláně je požadována hodnota modulu </w:t>
      </w:r>
      <w:proofErr w:type="spellStart"/>
      <w:r w:rsidRPr="00D245DE">
        <w:rPr>
          <w:rFonts w:ascii="Arial" w:hAnsi="Arial" w:cs="Arial"/>
          <w:sz w:val="20"/>
          <w:szCs w:val="20"/>
          <w:lang w:eastAsia="cs-CZ"/>
        </w:rPr>
        <w:t>přetvárnosti</w:t>
      </w:r>
      <w:proofErr w:type="spellEnd"/>
      <w:r w:rsidRPr="00D245DE">
        <w:rPr>
          <w:rFonts w:ascii="Arial" w:hAnsi="Arial" w:cs="Arial"/>
          <w:sz w:val="20"/>
          <w:szCs w:val="20"/>
          <w:lang w:eastAsia="cs-CZ"/>
        </w:rPr>
        <w:t xml:space="preserve"> Edef,2 = min. 60MPa.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D245DE" w:rsidRPr="00D245DE" w:rsidRDefault="00D245DE" w:rsidP="00D245DE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highlight w:val="yellow"/>
          <w:u w:val="single"/>
          <w:lang w:eastAsia="cs-CZ"/>
        </w:rPr>
      </w:pPr>
      <w:r w:rsidRPr="00D245DE"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  <w:t>SO 201 - Most ev. č. 11271-2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Bude provedeno provizorní převedení toku včetně těsnící hrázky a budou provedeny výkopy. Na místě stávajícího mostu bude realizován nový mostní objekt s délkou přemostění 5,0 m. Bude provedena </w:t>
      </w:r>
      <w:proofErr w:type="spellStart"/>
      <w:r w:rsidRPr="00D245DE">
        <w:rPr>
          <w:rFonts w:ascii="Arial" w:eastAsia="Arial" w:hAnsi="Arial" w:cs="Arial"/>
          <w:bCs/>
          <w:sz w:val="20"/>
          <w:szCs w:val="20"/>
        </w:rPr>
        <w:t>přímopojížděná</w:t>
      </w:r>
      <w:proofErr w:type="spellEnd"/>
      <w:r w:rsidRPr="00D245DE">
        <w:rPr>
          <w:rFonts w:ascii="Arial" w:eastAsia="Arial" w:hAnsi="Arial" w:cs="Arial"/>
          <w:bCs/>
          <w:sz w:val="20"/>
          <w:szCs w:val="20"/>
        </w:rPr>
        <w:t xml:space="preserve"> rámová železobetonová konstrukce, založená plošně na základových pasech. Křídla budou rovnoběžná, zavěšená.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Nosná konstrukce bude tvořena železobetonovým </w:t>
      </w:r>
      <w:proofErr w:type="spellStart"/>
      <w:r w:rsidRPr="00D245DE">
        <w:rPr>
          <w:rFonts w:ascii="Arial" w:eastAsia="Arial" w:hAnsi="Arial" w:cs="Arial"/>
          <w:bCs/>
          <w:sz w:val="20"/>
          <w:szCs w:val="20"/>
        </w:rPr>
        <w:t>polorámem</w:t>
      </w:r>
      <w:proofErr w:type="spellEnd"/>
      <w:r w:rsidRPr="00D245DE">
        <w:rPr>
          <w:rFonts w:ascii="Arial" w:eastAsia="Arial" w:hAnsi="Arial" w:cs="Arial"/>
          <w:bCs/>
          <w:sz w:val="20"/>
          <w:szCs w:val="20"/>
        </w:rPr>
        <w:t xml:space="preserve"> z betonu C30/37 XC4, XF2, XD1 vyztuženého ocelí B500B. Stojky a příčel rámu budou mít tloušťku 400 mm, most bude kolmý. Světlost mostu bude 5,0 m, šířka nosné konstrukce bude 8,72 m. Nosná konstrukce bude </w:t>
      </w:r>
      <w:proofErr w:type="spellStart"/>
      <w:r w:rsidRPr="00D245DE">
        <w:rPr>
          <w:rFonts w:ascii="Arial" w:eastAsia="Arial" w:hAnsi="Arial" w:cs="Arial"/>
          <w:bCs/>
          <w:sz w:val="20"/>
          <w:szCs w:val="20"/>
        </w:rPr>
        <w:t>přímopojížděná</w:t>
      </w:r>
      <w:proofErr w:type="spellEnd"/>
      <w:r w:rsidRPr="00D245DE">
        <w:rPr>
          <w:rFonts w:ascii="Arial" w:eastAsia="Arial" w:hAnsi="Arial" w:cs="Arial"/>
          <w:bCs/>
          <w:sz w:val="20"/>
          <w:szCs w:val="20"/>
        </w:rPr>
        <w:t>, podélný sklon bude 1,2%, příčný sklon bude jednostranný 6,0%.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Most bude založen plošně železobetonovými základovými pasy z betonu C30/37 – XC2, XF3, XA1.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Na obou stranách mostu a rovnoběžných křídlech budou provedeny železobetonové monolitické římsy z betonu C30/37 – XC4, XF4, XD3. Šířka říms bude proměnná min 0,8 m, horní povrch bude příčný sklon 4% směrem k vozovce. Na nosné konstrukci budou římsy kotveny dodatečně pomocí římsových kotev, na křídlech bude provedeno </w:t>
      </w:r>
      <w:proofErr w:type="spellStart"/>
      <w:r w:rsidRPr="00D245DE">
        <w:rPr>
          <w:rFonts w:ascii="Arial" w:eastAsia="Arial" w:hAnsi="Arial" w:cs="Arial"/>
          <w:bCs/>
          <w:sz w:val="20"/>
          <w:szCs w:val="20"/>
        </w:rPr>
        <w:t>zmonolitnění</w:t>
      </w:r>
      <w:proofErr w:type="spellEnd"/>
      <w:r w:rsidRPr="00D245DE">
        <w:rPr>
          <w:rFonts w:ascii="Arial" w:eastAsia="Arial" w:hAnsi="Arial" w:cs="Arial"/>
          <w:bCs/>
          <w:sz w:val="20"/>
          <w:szCs w:val="20"/>
        </w:rPr>
        <w:t xml:space="preserve"> pomocí betonářské výztuže. Most bude vybaven na všech římsách zábradelním svodidlem se stupněm zadržení H2. Zábradelní svodidlo bude do říms kotveno dodatečně systémovými kotvami.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Koryto pod mostem bude odlážděno lomovým kamenem </w:t>
      </w:r>
      <w:proofErr w:type="spellStart"/>
      <w:r w:rsidRPr="00D245DE">
        <w:rPr>
          <w:rFonts w:ascii="Arial" w:eastAsia="Arial" w:hAnsi="Arial" w:cs="Arial"/>
          <w:bCs/>
          <w:sz w:val="20"/>
          <w:szCs w:val="20"/>
        </w:rPr>
        <w:t>tl</w:t>
      </w:r>
      <w:proofErr w:type="spellEnd"/>
      <w:r w:rsidRPr="00D245DE">
        <w:rPr>
          <w:rFonts w:ascii="Arial" w:eastAsia="Arial" w:hAnsi="Arial" w:cs="Arial"/>
          <w:bCs/>
          <w:sz w:val="20"/>
          <w:szCs w:val="20"/>
        </w:rPr>
        <w:t xml:space="preserve">. 200 mm uloženým do betonového lože C25/30n XF1 </w:t>
      </w:r>
      <w:proofErr w:type="spellStart"/>
      <w:r w:rsidRPr="00D245DE">
        <w:rPr>
          <w:rFonts w:ascii="Arial" w:eastAsia="Arial" w:hAnsi="Arial" w:cs="Arial"/>
          <w:bCs/>
          <w:sz w:val="20"/>
          <w:szCs w:val="20"/>
        </w:rPr>
        <w:t>tl</w:t>
      </w:r>
      <w:proofErr w:type="spellEnd"/>
      <w:r w:rsidRPr="00D245DE">
        <w:rPr>
          <w:rFonts w:ascii="Arial" w:eastAsia="Arial" w:hAnsi="Arial" w:cs="Arial"/>
          <w:bCs/>
          <w:sz w:val="20"/>
          <w:szCs w:val="20"/>
        </w:rPr>
        <w:t xml:space="preserve">. 100 mm. Ukončení dlažby bude provedeno pomocí betonového prahu 0,4x0,8 m. Odláždění bude provedeno také podél křídel v šířce 0,5m. Tvar koryta pod mostem bude umožňovat převedení nízkých průtoků se suchými bermami šířky 1,0 m.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>Hydroizolace spodní stavby bude rozdělena na dva systémy podle umístění, vzhledem k drenážní trubce za opěrou – nad nebo pod ní.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cs-CZ"/>
        </w:rPr>
      </w:pPr>
    </w:p>
    <w:tbl>
      <w:tblPr>
        <w:tblW w:w="962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813"/>
        <w:gridCol w:w="4813"/>
      </w:tblGrid>
      <w:tr w:rsidR="00D245DE" w:rsidRPr="00D245DE" w:rsidTr="00002070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Times New Roman" w:hAnsi="Arial" w:cs="Arial"/>
                <w:bCs/>
                <w:iCs/>
                <w:sz w:val="20"/>
                <w:szCs w:val="20"/>
                <w:u w:val="single"/>
                <w:lang w:eastAsia="cs-CZ"/>
              </w:rPr>
              <w:t>Charakteristika mostu</w:t>
            </w: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železobetonová rámová nosná konstrukce </w:t>
            </w:r>
          </w:p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plošné založení na železobetonových pasech </w:t>
            </w:r>
          </w:p>
        </w:tc>
      </w:tr>
      <w:tr w:rsidR="00D245DE" w:rsidRPr="00D245DE" w:rsidTr="00002070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Délka mostu </w:t>
            </w:r>
          </w:p>
        </w:tc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14,6 m (včetně křídel) </w:t>
            </w:r>
          </w:p>
        </w:tc>
      </w:tr>
      <w:tr w:rsidR="00D245DE" w:rsidRPr="00D245DE" w:rsidTr="00002070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Délka nosné konstrukce </w:t>
            </w:r>
          </w:p>
        </w:tc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5,8 m </w:t>
            </w:r>
          </w:p>
        </w:tc>
      </w:tr>
      <w:tr w:rsidR="00D245DE" w:rsidRPr="00D245DE" w:rsidTr="00002070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Světlost </w:t>
            </w:r>
          </w:p>
        </w:tc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5,0 m </w:t>
            </w:r>
          </w:p>
        </w:tc>
      </w:tr>
      <w:tr w:rsidR="00D245DE" w:rsidRPr="00D245DE" w:rsidTr="00002070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Šikmost </w:t>
            </w:r>
          </w:p>
        </w:tc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90° </w:t>
            </w:r>
          </w:p>
        </w:tc>
      </w:tr>
      <w:tr w:rsidR="00D245DE" w:rsidRPr="00D245DE" w:rsidTr="00002070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Volná šířka mostu </w:t>
            </w:r>
          </w:p>
        </w:tc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7,6 m </w:t>
            </w:r>
          </w:p>
        </w:tc>
      </w:tr>
      <w:tr w:rsidR="00D245DE" w:rsidRPr="00D245DE" w:rsidTr="00002070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Šířka mostu </w:t>
            </w:r>
          </w:p>
        </w:tc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9,32 m (včetně říms) </w:t>
            </w:r>
          </w:p>
        </w:tc>
      </w:tr>
      <w:tr w:rsidR="00D245DE" w:rsidRPr="00D245DE" w:rsidTr="00002070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Výška mostu nad terénem </w:t>
            </w:r>
          </w:p>
        </w:tc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1,95 – 2,5 m </w:t>
            </w:r>
          </w:p>
        </w:tc>
      </w:tr>
      <w:tr w:rsidR="00D245DE" w:rsidRPr="00D245DE" w:rsidTr="00002070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Stavební výška </w:t>
            </w:r>
          </w:p>
        </w:tc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0,6 m </w:t>
            </w:r>
          </w:p>
        </w:tc>
      </w:tr>
      <w:tr w:rsidR="00D245DE" w:rsidRPr="00D245DE" w:rsidTr="00002070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Plocha nosné konstrukce mostu </w:t>
            </w:r>
          </w:p>
        </w:tc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50,5 m2 </w:t>
            </w:r>
          </w:p>
        </w:tc>
      </w:tr>
      <w:tr w:rsidR="00D245DE" w:rsidRPr="00D245DE" w:rsidTr="00002070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Zatížení a zatížitelnost mostu </w:t>
            </w:r>
          </w:p>
        </w:tc>
        <w:tc>
          <w:tcPr>
            <w:tcW w:w="4813" w:type="dxa"/>
          </w:tcPr>
          <w:p w:rsidR="00D245DE" w:rsidRPr="00D245DE" w:rsidRDefault="00D245DE" w:rsidP="0000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dle ČSN EN 1991-2, </w:t>
            </w:r>
            <w:proofErr w:type="spellStart"/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>Vn</w:t>
            </w:r>
            <w:proofErr w:type="spellEnd"/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=32 t; </w:t>
            </w:r>
            <w:proofErr w:type="spellStart"/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>Vr</w:t>
            </w:r>
            <w:proofErr w:type="spellEnd"/>
            <w:r w:rsidRPr="00D245DE">
              <w:rPr>
                <w:rFonts w:ascii="Arial" w:eastAsia="Arial" w:hAnsi="Arial" w:cs="Arial"/>
                <w:bCs/>
                <w:sz w:val="20"/>
                <w:szCs w:val="20"/>
              </w:rPr>
              <w:t xml:space="preserve">=80 t; Ve=180 t </w:t>
            </w:r>
          </w:p>
        </w:tc>
      </w:tr>
    </w:tbl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Cs/>
          <w:sz w:val="20"/>
          <w:szCs w:val="20"/>
          <w:highlight w:val="yellow"/>
          <w:lang w:eastAsia="cs-CZ"/>
        </w:rPr>
      </w:pP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u w:val="single"/>
          <w:lang w:eastAsia="cs-CZ"/>
        </w:rPr>
      </w:pP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u w:val="single"/>
          <w:lang w:eastAsia="cs-CZ"/>
        </w:rPr>
      </w:pPr>
      <w:r w:rsidRPr="00D245DE">
        <w:rPr>
          <w:rFonts w:ascii="Arial" w:eastAsia="Times New Roman" w:hAnsi="Arial" w:cs="Arial"/>
          <w:bCs/>
          <w:iCs/>
          <w:sz w:val="20"/>
          <w:szCs w:val="20"/>
          <w:u w:val="single"/>
          <w:lang w:eastAsia="cs-CZ"/>
        </w:rPr>
        <w:t>Skladba vozovky na mostě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Asfaltový beton pro obrusné vrstvy </w:t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ACO 11+ </w:t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40 mm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Spojovací postřik </w:t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PS C 50 B5 </w:t>
      </w:r>
      <w:r w:rsidRPr="00D245DE">
        <w:rPr>
          <w:rFonts w:ascii="Arial" w:eastAsia="Arial" w:hAnsi="Arial" w:cs="Arial"/>
          <w:bCs/>
          <w:sz w:val="20"/>
          <w:szCs w:val="20"/>
        </w:rPr>
        <w:tab/>
        <w:t>0,3 kg/m2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Asfaltový beton pro ložní vrstvy </w:t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ACL 16+ </w:t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60 mm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Litý asfalt </w:t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MA 11 IV </w:t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40 mm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Izolace z natavovaných pásů </w:t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5 mm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Pečetící vrstva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Celkem </w:t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145 mm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u w:val="single"/>
          <w:lang w:eastAsia="cs-CZ"/>
        </w:rPr>
      </w:pPr>
      <w:r w:rsidRPr="00D245DE">
        <w:rPr>
          <w:rFonts w:ascii="Arial" w:eastAsia="Times New Roman" w:hAnsi="Arial" w:cs="Arial"/>
          <w:bCs/>
          <w:iCs/>
          <w:sz w:val="20"/>
          <w:szCs w:val="20"/>
          <w:u w:val="single"/>
          <w:lang w:eastAsia="cs-CZ"/>
        </w:rPr>
        <w:t xml:space="preserve">Vozovka v navazujících úsecích mostu je navržena třívrstvá s následující skladbou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Asfaltový beton pro obrusné vrstvy </w:t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ACO 11+ </w:t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40 mm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Spojovací postřik </w:t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PS C 50 B5 </w:t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0,3 kg/m2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Asfaltový beton pro ložní vrstvy </w:t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ACL 16+ </w:t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60 mm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Spojovací postřik </w:t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PS C 50 B5 </w:t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0,3 kg/m2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Asfaltový beton pro podkladní vrstvy </w:t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ACP 16+ </w:t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50 mm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lastRenderedPageBreak/>
        <w:t xml:space="preserve">Asfaltový postřik infiltrační </w:t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PI C 50 BP3 </w:t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2x0,6 kg/m2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proofErr w:type="spellStart"/>
      <w:r w:rsidRPr="00D245DE">
        <w:rPr>
          <w:rFonts w:ascii="Arial" w:eastAsia="Arial" w:hAnsi="Arial" w:cs="Arial"/>
          <w:bCs/>
          <w:sz w:val="20"/>
          <w:szCs w:val="20"/>
        </w:rPr>
        <w:t>Štěrkodrť</w:t>
      </w:r>
      <w:proofErr w:type="spellEnd"/>
      <w:r w:rsidRPr="00D245DE">
        <w:rPr>
          <w:rFonts w:ascii="Arial" w:eastAsia="Arial" w:hAnsi="Arial" w:cs="Arial"/>
          <w:bCs/>
          <w:sz w:val="20"/>
          <w:szCs w:val="20"/>
        </w:rPr>
        <w:t xml:space="preserve"> fr. 0/32 </w:t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ŠDA </w:t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150 mm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proofErr w:type="spellStart"/>
      <w:r w:rsidRPr="00D245DE">
        <w:rPr>
          <w:rFonts w:ascii="Arial" w:eastAsia="Arial" w:hAnsi="Arial" w:cs="Arial"/>
          <w:bCs/>
          <w:sz w:val="20"/>
          <w:szCs w:val="20"/>
        </w:rPr>
        <w:t>Štěrkodrť</w:t>
      </w:r>
      <w:proofErr w:type="spellEnd"/>
      <w:r w:rsidRPr="00D245DE">
        <w:rPr>
          <w:rFonts w:ascii="Arial" w:eastAsia="Arial" w:hAnsi="Arial" w:cs="Arial"/>
          <w:bCs/>
          <w:sz w:val="20"/>
          <w:szCs w:val="20"/>
        </w:rPr>
        <w:t xml:space="preserve"> fr. 0/63 </w:t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ŠDB </w:t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150 mm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 xml:space="preserve">Celkem </w:t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</w:r>
      <w:r w:rsidRPr="00D245DE">
        <w:rPr>
          <w:rFonts w:ascii="Arial" w:eastAsia="Arial" w:hAnsi="Arial" w:cs="Arial"/>
          <w:bCs/>
          <w:sz w:val="20"/>
          <w:szCs w:val="20"/>
        </w:rPr>
        <w:tab/>
        <w:t xml:space="preserve">450 mm 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  <w:highlight w:val="yellow"/>
        </w:rPr>
      </w:pP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</w:pPr>
      <w:r w:rsidRPr="00D245DE"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  <w:t>SO 181 – DIO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>Objízdná trasa bude vedena přes městys Želetava po komunikaci II/410 a I/38. Objízdná trasa bude obousměrná. Před zahájením výstavby bude navržená objízdná trasa zkontrolována vybraným zhotovitelem, zda nekoliduje s aktuálními dopravními omezeními.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eastAsia="Arial" w:hAnsi="Arial" w:cs="Arial"/>
          <w:bCs/>
          <w:sz w:val="20"/>
          <w:szCs w:val="20"/>
        </w:rPr>
        <w:t>Zhotovitel stavby je povinen před zahájením stavby požádat příslušný silniční správní úřad (za předchozího souhlasu DI Policie ČR) o „Stanovení dopravního značení v místě stavby“, zajistit osazení dopravních značek a dbát o úplnost a funkčnost přechodného dopravního značení po celou dobu výstavby.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  <w:highlight w:val="yellow"/>
        </w:rPr>
      </w:pP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</w:p>
    <w:p w:rsidR="00D245DE" w:rsidRPr="00D245DE" w:rsidRDefault="00D245DE" w:rsidP="00D245DE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245DE">
        <w:rPr>
          <w:rFonts w:ascii="Arial" w:hAnsi="Arial" w:cs="Arial"/>
          <w:b/>
          <w:sz w:val="20"/>
          <w:szCs w:val="20"/>
        </w:rPr>
        <w:t>Dokumentace skutečného provedení DTM</w:t>
      </w:r>
    </w:p>
    <w:p w:rsidR="00D245DE" w:rsidRPr="00D245DE" w:rsidRDefault="00D245DE" w:rsidP="00D245D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D245DE">
        <w:rPr>
          <w:rFonts w:ascii="Arial" w:hAnsi="Arial" w:cs="Arial"/>
          <w:sz w:val="20"/>
          <w:szCs w:val="20"/>
        </w:rPr>
        <w:t>Vyhotovení geodetické části dokumentace skutečného provedení stavby bude obsahovat geometrické, polohové a výškové určení dokončené stavby, bude vyhotoveno v souladu s § 5 a ve struktuře dle příloh č. 3 a 4 vyhlášky č. 393/2020 Sb., o digitální technické mapě.</w:t>
      </w:r>
    </w:p>
    <w:p w:rsidR="00D245DE" w:rsidRPr="00D245DE" w:rsidRDefault="00D245DE" w:rsidP="00D245D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D245DE" w:rsidRPr="00D245DE" w:rsidRDefault="00D245DE" w:rsidP="00D245DE">
      <w:pPr>
        <w:spacing w:after="160" w:line="259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D245DE">
        <w:rPr>
          <w:rFonts w:ascii="Arial" w:hAnsi="Arial" w:cs="Arial"/>
          <w:sz w:val="20"/>
          <w:szCs w:val="20"/>
        </w:rPr>
        <w:t>Bude předáno zaměření skutečného provedení stavby ověřené autorizovaným zeměměřickým inženýrem (AZI). Součástí zaměření skutečného provedení stavby bude:</w:t>
      </w:r>
    </w:p>
    <w:p w:rsidR="00D245DE" w:rsidRPr="00D245DE" w:rsidRDefault="00D245DE" w:rsidP="00D245DE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245DE">
        <w:rPr>
          <w:rFonts w:ascii="Arial" w:hAnsi="Arial" w:cs="Arial"/>
          <w:sz w:val="20"/>
          <w:szCs w:val="20"/>
        </w:rPr>
        <w:t>výkres ve formátech DGN a PDF</w:t>
      </w:r>
    </w:p>
    <w:p w:rsidR="00D245DE" w:rsidRPr="00D245DE" w:rsidRDefault="00D245DE" w:rsidP="00D245DE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245DE">
        <w:rPr>
          <w:rFonts w:ascii="Arial" w:hAnsi="Arial" w:cs="Arial"/>
          <w:sz w:val="20"/>
          <w:szCs w:val="20"/>
        </w:rPr>
        <w:t>technická zpráva ve formátu DOCX</w:t>
      </w:r>
    </w:p>
    <w:p w:rsidR="00D245DE" w:rsidRPr="00D245DE" w:rsidRDefault="00D245DE" w:rsidP="00D245DE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245DE">
        <w:rPr>
          <w:rFonts w:ascii="Arial" w:hAnsi="Arial" w:cs="Arial"/>
          <w:sz w:val="20"/>
          <w:szCs w:val="20"/>
        </w:rPr>
        <w:t>seznam souřadnic ve formátu TXT</w:t>
      </w:r>
    </w:p>
    <w:p w:rsidR="00D245DE" w:rsidRPr="00D245DE" w:rsidRDefault="00D245DE" w:rsidP="00D245DE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245DE">
        <w:rPr>
          <w:rFonts w:ascii="Arial" w:hAnsi="Arial" w:cs="Arial"/>
          <w:sz w:val="20"/>
          <w:szCs w:val="20"/>
        </w:rPr>
        <w:t>tabulka s výměrami nově vzniklých zpevněných ploch členěná dle druhu a materiálu</w:t>
      </w:r>
    </w:p>
    <w:p w:rsidR="00D245DE" w:rsidRPr="00D245DE" w:rsidRDefault="00D245DE" w:rsidP="00D245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245DE">
        <w:rPr>
          <w:rFonts w:ascii="Arial" w:hAnsi="Arial" w:cs="Arial"/>
          <w:sz w:val="20"/>
          <w:szCs w:val="20"/>
        </w:rPr>
        <w:t xml:space="preserve">Prostřednictvím AZI (typ oprávnění C – dle § 16f, odst. 1 zákona 200/1994 Sb., o zeměměřictví) provede posouzení změn v základní prostorové situaci (ZPS) vedené v Digitální technické mapě Kraje Vysočina (DTM KV). Za změnu je považováno též doplnění objektů v DTM KV. V případě, že se změnila situace oproti ZPS vedené v DTM KV, AZI vyhotoví a předá podklad pro aktualizaci DTM (geodetickou aktualizační dokumentaci, tzv. GAD). </w:t>
      </w:r>
    </w:p>
    <w:p w:rsidR="00D245DE" w:rsidRPr="00D245DE" w:rsidRDefault="00D245DE" w:rsidP="00D245DE">
      <w:pPr>
        <w:ind w:firstLine="708"/>
        <w:contextualSpacing/>
        <w:jc w:val="both"/>
        <w:rPr>
          <w:rFonts w:ascii="Arial" w:hAnsi="Arial" w:cs="Arial"/>
          <w:sz w:val="20"/>
          <w:szCs w:val="20"/>
        </w:rPr>
      </w:pPr>
      <w:r w:rsidRPr="00D245DE">
        <w:rPr>
          <w:rFonts w:ascii="Arial" w:hAnsi="Arial" w:cs="Arial"/>
          <w:sz w:val="20"/>
          <w:szCs w:val="20"/>
        </w:rPr>
        <w:t>GAD:</w:t>
      </w:r>
    </w:p>
    <w:p w:rsidR="00D245DE" w:rsidRPr="00D245DE" w:rsidRDefault="00D245DE" w:rsidP="00D245DE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245DE">
        <w:rPr>
          <w:rFonts w:ascii="Arial" w:hAnsi="Arial" w:cs="Arial"/>
          <w:sz w:val="20"/>
          <w:szCs w:val="20"/>
        </w:rPr>
        <w:t>bude předána ve verzi výměnného formátu aktuálně nasazené na Informačním systému Digitální mapy veřejné správy (IS DMVS) / Informačním systému Digitální technické mapy kraje (IS DTM),</w:t>
      </w:r>
    </w:p>
    <w:p w:rsidR="00D245DE" w:rsidRPr="00D245DE" w:rsidRDefault="00D245DE" w:rsidP="00D245DE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245DE">
        <w:rPr>
          <w:rFonts w:ascii="Arial" w:hAnsi="Arial" w:cs="Arial"/>
          <w:sz w:val="20"/>
          <w:szCs w:val="20"/>
        </w:rPr>
        <w:t>bude zpracována v souladu s § 5, dle obsahu přílohy č. 3 vyhlášky č. 393/2020 Sb., o digitální technické mapě (vyhláška DTM), v platném znění,</w:t>
      </w:r>
    </w:p>
    <w:p w:rsidR="00D245DE" w:rsidRPr="00D245DE" w:rsidRDefault="00D245DE" w:rsidP="00D245DE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245DE">
        <w:rPr>
          <w:rFonts w:ascii="Arial" w:hAnsi="Arial" w:cs="Arial"/>
          <w:sz w:val="20"/>
          <w:szCs w:val="20"/>
        </w:rPr>
        <w:t>bude obsahovat části dle přílohy č. 4 vyhlášky DTM,</w:t>
      </w:r>
    </w:p>
    <w:p w:rsidR="00D245DE" w:rsidRPr="00D245DE" w:rsidRDefault="00D245DE" w:rsidP="00D245DE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245DE">
        <w:rPr>
          <w:rFonts w:ascii="Arial" w:hAnsi="Arial" w:cs="Arial"/>
          <w:sz w:val="20"/>
          <w:szCs w:val="20"/>
        </w:rPr>
        <w:t xml:space="preserve">se vyhotovuje s využitím stávajících údajů digitální technické mapy formou tzv. změnových vět. </w:t>
      </w:r>
    </w:p>
    <w:p w:rsidR="00D245DE" w:rsidRPr="00D245DE" w:rsidRDefault="00D245DE" w:rsidP="00D245DE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D245DE">
        <w:rPr>
          <w:rFonts w:ascii="Arial" w:hAnsi="Arial" w:cs="Arial"/>
          <w:b/>
          <w:bCs/>
          <w:sz w:val="20"/>
          <w:szCs w:val="20"/>
        </w:rPr>
        <w:t>Předáním podkladu pro aktualizaci DTM se rozumí vložení GAD do Portálu DMVS a předání protokolu o způsobilosti podkladu k zapracování objednateli.</w:t>
      </w:r>
    </w:p>
    <w:p w:rsidR="00D245DE" w:rsidRPr="00D245DE" w:rsidRDefault="00D245DE" w:rsidP="00D245DE">
      <w:pPr>
        <w:ind w:left="72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:rsidR="00D245DE" w:rsidRPr="00D245DE" w:rsidRDefault="00D245DE" w:rsidP="00D245DE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D245DE">
        <w:rPr>
          <w:rFonts w:ascii="Arial" w:hAnsi="Arial" w:cs="Arial"/>
          <w:sz w:val="20"/>
          <w:szCs w:val="20"/>
        </w:rPr>
        <w:t>Při aktualizaci dopravní a technické infrastruktury (DTI) ve vlastnictví kraje zhotovitel:</w:t>
      </w:r>
    </w:p>
    <w:p w:rsidR="00D245DE" w:rsidRPr="00D245DE" w:rsidRDefault="00D245DE" w:rsidP="00D245DE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245DE">
        <w:rPr>
          <w:rFonts w:ascii="Arial" w:hAnsi="Arial" w:cs="Arial"/>
          <w:sz w:val="20"/>
          <w:szCs w:val="20"/>
        </w:rPr>
        <w:t>Předá samostatný soubor změnové dokumentace s vymezením odvozených prvků dopravní infrastruktury (obvod a osa komunikace, silniční uzly, ochranné pásmo, příp. obvod mostu). Soubor bude zpracován dle obsahu přílohy č. 1 vyhlášky DTM ve verzi výměnného formátu aktuálně nasazené na IS DMVS/IS DTM.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r w:rsidRPr="00D245DE">
        <w:rPr>
          <w:rFonts w:ascii="Arial" w:hAnsi="Arial" w:cs="Arial"/>
          <w:sz w:val="20"/>
          <w:szCs w:val="20"/>
        </w:rPr>
        <w:t>Předá samostatné soubory změnové dokumentace se zpracovanými prvky technické infrastruktury. Soubory budou členěny jednotlivě dle příslušných skupin prvků dle přílohy č. 1 vyhlášky DTM (</w:t>
      </w:r>
      <w:proofErr w:type="spellStart"/>
      <w:r w:rsidRPr="00D245DE">
        <w:rPr>
          <w:rFonts w:ascii="Arial" w:hAnsi="Arial" w:cs="Arial"/>
          <w:sz w:val="20"/>
          <w:szCs w:val="20"/>
        </w:rPr>
        <w:t>rDTI</w:t>
      </w:r>
      <w:proofErr w:type="spellEnd"/>
      <w:r w:rsidRPr="00D245DE">
        <w:rPr>
          <w:rFonts w:ascii="Arial" w:hAnsi="Arial" w:cs="Arial"/>
          <w:sz w:val="20"/>
          <w:szCs w:val="20"/>
        </w:rPr>
        <w:t xml:space="preserve"> v portálu IS DMVS), a to v členění dle dotčených subjektů (SUBJ). Soubor bude zpracován dle obsahu přílohy č. 1 vyhlášky DTM ve verzi výměnného formátu aktuálně nasazené na IS DMVS/IS DTM</w:t>
      </w:r>
    </w:p>
    <w:p w:rsidR="00D245DE" w:rsidRPr="00D245DE" w:rsidRDefault="00D245DE" w:rsidP="00D245DE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</w:p>
    <w:p w:rsidR="00D245DE" w:rsidRPr="00D245DE" w:rsidRDefault="00D245DE" w:rsidP="00D245DE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D245DE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Zadávací podklady</w:t>
      </w:r>
    </w:p>
    <w:p w:rsidR="00D245DE" w:rsidRPr="00D245DE" w:rsidRDefault="00D245DE" w:rsidP="00D245DE">
      <w:pPr>
        <w:pStyle w:val="Default"/>
        <w:jc w:val="both"/>
        <w:rPr>
          <w:sz w:val="20"/>
          <w:szCs w:val="20"/>
        </w:rPr>
      </w:pPr>
      <w:r w:rsidRPr="00D245DE">
        <w:rPr>
          <w:rFonts w:eastAsia="Arial"/>
          <w:bCs/>
          <w:sz w:val="20"/>
          <w:szCs w:val="20"/>
        </w:rPr>
        <w:t xml:space="preserve">Požadavky na rekonstrukci mostu jsou specifikovány v projektové dokumentaci, kterou ve stupni PDPS (11/2023), spolu se soupisem prací v programu ASPE </w:t>
      </w:r>
      <w:proofErr w:type="spellStart"/>
      <w:r w:rsidRPr="00D245DE">
        <w:rPr>
          <w:rFonts w:eastAsia="Arial"/>
          <w:bCs/>
          <w:sz w:val="20"/>
          <w:szCs w:val="20"/>
        </w:rPr>
        <w:t>Esticon</w:t>
      </w:r>
      <w:proofErr w:type="spellEnd"/>
      <w:r w:rsidRPr="00D245DE">
        <w:rPr>
          <w:rFonts w:eastAsia="Arial"/>
          <w:bCs/>
          <w:sz w:val="20"/>
          <w:szCs w:val="20"/>
        </w:rPr>
        <w:t xml:space="preserve">, vypracovala společnost </w:t>
      </w:r>
      <w:r w:rsidRPr="00D245DE">
        <w:rPr>
          <w:rFonts w:eastAsia="Arial"/>
          <w:bCs/>
          <w:color w:val="auto"/>
          <w:sz w:val="20"/>
          <w:szCs w:val="20"/>
          <w:lang w:eastAsia="en-US"/>
        </w:rPr>
        <w:t xml:space="preserve">DIPONT s.r.o., </w:t>
      </w:r>
      <w:r w:rsidRPr="00D245DE">
        <w:rPr>
          <w:rFonts w:eastAsia="Arial"/>
          <w:bCs/>
          <w:color w:val="auto"/>
          <w:sz w:val="20"/>
          <w:szCs w:val="20"/>
          <w:lang w:eastAsia="en-US"/>
        </w:rPr>
        <w:lastRenderedPageBreak/>
        <w:t>projektová a inženýrská činnost, Ing. František Kortus, sídlo</w:t>
      </w:r>
      <w:r w:rsidRPr="00D245DE">
        <w:rPr>
          <w:rFonts w:eastAsia="Arial"/>
          <w:bCs/>
          <w:sz w:val="20"/>
          <w:szCs w:val="20"/>
        </w:rPr>
        <w:t xml:space="preserve"> společnosti Klíšská 1432/18, 400 01 Ústní nad Labem, IČO: 28693094.</w:t>
      </w:r>
      <w:r w:rsidRPr="00D245DE">
        <w:rPr>
          <w:sz w:val="20"/>
          <w:szCs w:val="20"/>
        </w:rPr>
        <w:t xml:space="preserve"> </w:t>
      </w:r>
    </w:p>
    <w:p w:rsidR="00CE4F6E" w:rsidRPr="00D245DE" w:rsidRDefault="00CE4F6E" w:rsidP="00D245DE">
      <w:pPr>
        <w:keepNext/>
        <w:tabs>
          <w:tab w:val="left" w:pos="993"/>
        </w:tabs>
        <w:spacing w:after="120"/>
        <w:rPr>
          <w:rFonts w:ascii="Arial" w:eastAsia="Times New Roman" w:hAnsi="Arial" w:cs="Arial"/>
          <w:sz w:val="20"/>
          <w:szCs w:val="20"/>
          <w:lang w:eastAsia="cs-CZ"/>
        </w:rPr>
      </w:pPr>
    </w:p>
    <w:sectPr w:rsidR="00CE4F6E" w:rsidRPr="00D245DE" w:rsidSect="004C1583">
      <w:headerReference w:type="default" r:id="rId7"/>
      <w:footerReference w:type="default" r:id="rId8"/>
      <w:pgSz w:w="11906" w:h="16838"/>
      <w:pgMar w:top="1343" w:right="1133" w:bottom="1135" w:left="1417" w:header="426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D245DE">
      <w:rPr>
        <w:rFonts w:ascii="Arial" w:hAnsi="Arial" w:cs="Arial"/>
        <w:b/>
        <w:noProof/>
        <w:sz w:val="16"/>
        <w:szCs w:val="16"/>
      </w:rPr>
      <w:t>2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D245DE">
      <w:rPr>
        <w:rFonts w:ascii="Arial" w:hAnsi="Arial" w:cs="Arial"/>
        <w:b/>
        <w:noProof/>
        <w:sz w:val="16"/>
        <w:szCs w:val="16"/>
      </w:rPr>
      <w:t>4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4C1583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topMargin">
            <wp:posOffset>137160</wp:posOffset>
          </wp:positionV>
          <wp:extent cx="2599200" cy="579600"/>
          <wp:effectExtent l="0" t="0" r="0" b="0"/>
          <wp:wrapSquare wrapText="bothSides"/>
          <wp:docPr id="8" name="Obrázek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9200" cy="5796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4C1583" w:rsidRDefault="004C1583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4C1583" w:rsidRDefault="004C1583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4C1583" w:rsidRDefault="004C1583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A609C6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Příloha A3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11C02"/>
    <w:multiLevelType w:val="hybridMultilevel"/>
    <w:tmpl w:val="03264566"/>
    <w:lvl w:ilvl="0" w:tplc="2444B4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71966"/>
    <w:multiLevelType w:val="hybridMultilevel"/>
    <w:tmpl w:val="05D87B0E"/>
    <w:lvl w:ilvl="0" w:tplc="D99EFAC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2164D16"/>
    <w:multiLevelType w:val="hybridMultilevel"/>
    <w:tmpl w:val="312CB40A"/>
    <w:lvl w:ilvl="0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970E43"/>
    <w:multiLevelType w:val="hybridMultilevel"/>
    <w:tmpl w:val="A2BEE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FD345A"/>
    <w:multiLevelType w:val="hybridMultilevel"/>
    <w:tmpl w:val="BEECE4A0"/>
    <w:lvl w:ilvl="0" w:tplc="B1384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5A782D"/>
    <w:multiLevelType w:val="hybridMultilevel"/>
    <w:tmpl w:val="5860EF6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DAB6B3B"/>
    <w:multiLevelType w:val="hybridMultilevel"/>
    <w:tmpl w:val="1960CD02"/>
    <w:lvl w:ilvl="0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2"/>
  </w:num>
  <w:num w:numId="3">
    <w:abstractNumId w:val="0"/>
  </w:num>
  <w:num w:numId="4">
    <w:abstractNumId w:val="17"/>
  </w:num>
  <w:num w:numId="5">
    <w:abstractNumId w:val="12"/>
  </w:num>
  <w:num w:numId="6">
    <w:abstractNumId w:val="16"/>
  </w:num>
  <w:num w:numId="7">
    <w:abstractNumId w:val="15"/>
  </w:num>
  <w:num w:numId="8">
    <w:abstractNumId w:val="5"/>
  </w:num>
  <w:num w:numId="9">
    <w:abstractNumId w:val="14"/>
  </w:num>
  <w:num w:numId="10">
    <w:abstractNumId w:val="4"/>
  </w:num>
  <w:num w:numId="11">
    <w:abstractNumId w:val="6"/>
  </w:num>
  <w:num w:numId="12">
    <w:abstractNumId w:val="2"/>
  </w:num>
  <w:num w:numId="13">
    <w:abstractNumId w:val="9"/>
  </w:num>
  <w:num w:numId="14">
    <w:abstractNumId w:val="23"/>
  </w:num>
  <w:num w:numId="15">
    <w:abstractNumId w:val="21"/>
  </w:num>
  <w:num w:numId="16">
    <w:abstractNumId w:val="3"/>
  </w:num>
  <w:num w:numId="17">
    <w:abstractNumId w:val="10"/>
  </w:num>
  <w:num w:numId="18">
    <w:abstractNumId w:val="24"/>
  </w:num>
  <w:num w:numId="19">
    <w:abstractNumId w:val="20"/>
  </w:num>
  <w:num w:numId="20">
    <w:abstractNumId w:val="7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13"/>
  </w:num>
  <w:num w:numId="26">
    <w:abstractNumId w:val="26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C2"/>
    <w:rsid w:val="00031B59"/>
    <w:rsid w:val="00033EC2"/>
    <w:rsid w:val="00034EBA"/>
    <w:rsid w:val="00063465"/>
    <w:rsid w:val="00077603"/>
    <w:rsid w:val="00091A0B"/>
    <w:rsid w:val="000C549D"/>
    <w:rsid w:val="000D19B4"/>
    <w:rsid w:val="00100AEC"/>
    <w:rsid w:val="00105330"/>
    <w:rsid w:val="001310C6"/>
    <w:rsid w:val="00143858"/>
    <w:rsid w:val="00150F88"/>
    <w:rsid w:val="00153C52"/>
    <w:rsid w:val="00160457"/>
    <w:rsid w:val="0016103B"/>
    <w:rsid w:val="00162E5A"/>
    <w:rsid w:val="00172C17"/>
    <w:rsid w:val="00174D7F"/>
    <w:rsid w:val="00186571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819DD"/>
    <w:rsid w:val="00294439"/>
    <w:rsid w:val="00297B67"/>
    <w:rsid w:val="002A2808"/>
    <w:rsid w:val="002A70F8"/>
    <w:rsid w:val="002D116F"/>
    <w:rsid w:val="002D2AC8"/>
    <w:rsid w:val="00322187"/>
    <w:rsid w:val="00335791"/>
    <w:rsid w:val="003634A2"/>
    <w:rsid w:val="0036360F"/>
    <w:rsid w:val="003A6635"/>
    <w:rsid w:val="003B523E"/>
    <w:rsid w:val="003C0016"/>
    <w:rsid w:val="003D36F1"/>
    <w:rsid w:val="003F0F3C"/>
    <w:rsid w:val="00405F21"/>
    <w:rsid w:val="00413BFA"/>
    <w:rsid w:val="0043662A"/>
    <w:rsid w:val="00437E4E"/>
    <w:rsid w:val="00484165"/>
    <w:rsid w:val="00487EB6"/>
    <w:rsid w:val="004B2925"/>
    <w:rsid w:val="004B4D66"/>
    <w:rsid w:val="004C1583"/>
    <w:rsid w:val="004C21B3"/>
    <w:rsid w:val="004C2E7C"/>
    <w:rsid w:val="004C3D34"/>
    <w:rsid w:val="004E26C7"/>
    <w:rsid w:val="004F4618"/>
    <w:rsid w:val="005252AA"/>
    <w:rsid w:val="0052571B"/>
    <w:rsid w:val="005562DB"/>
    <w:rsid w:val="00567014"/>
    <w:rsid w:val="00575531"/>
    <w:rsid w:val="005875BA"/>
    <w:rsid w:val="005A2999"/>
    <w:rsid w:val="005C7610"/>
    <w:rsid w:val="005E469A"/>
    <w:rsid w:val="005E59F4"/>
    <w:rsid w:val="00605337"/>
    <w:rsid w:val="0060692D"/>
    <w:rsid w:val="0061488E"/>
    <w:rsid w:val="00627D75"/>
    <w:rsid w:val="00633927"/>
    <w:rsid w:val="00635E1D"/>
    <w:rsid w:val="00651DA9"/>
    <w:rsid w:val="00651F7A"/>
    <w:rsid w:val="00660B95"/>
    <w:rsid w:val="006916B1"/>
    <w:rsid w:val="00694A7D"/>
    <w:rsid w:val="006A0285"/>
    <w:rsid w:val="006A3AD9"/>
    <w:rsid w:val="007172CC"/>
    <w:rsid w:val="00723546"/>
    <w:rsid w:val="007349F9"/>
    <w:rsid w:val="00756EC0"/>
    <w:rsid w:val="0076591D"/>
    <w:rsid w:val="00771D72"/>
    <w:rsid w:val="00771DF0"/>
    <w:rsid w:val="007727C7"/>
    <w:rsid w:val="00781C90"/>
    <w:rsid w:val="007A0B2C"/>
    <w:rsid w:val="007D1374"/>
    <w:rsid w:val="007F3F8D"/>
    <w:rsid w:val="007F411D"/>
    <w:rsid w:val="007F463F"/>
    <w:rsid w:val="008023D2"/>
    <w:rsid w:val="00817C5F"/>
    <w:rsid w:val="008209FA"/>
    <w:rsid w:val="00821D8A"/>
    <w:rsid w:val="00844B90"/>
    <w:rsid w:val="0085017D"/>
    <w:rsid w:val="008602B0"/>
    <w:rsid w:val="008742AE"/>
    <w:rsid w:val="0088350B"/>
    <w:rsid w:val="00884EBA"/>
    <w:rsid w:val="00884EFC"/>
    <w:rsid w:val="008B37FB"/>
    <w:rsid w:val="008B5E8C"/>
    <w:rsid w:val="008D4372"/>
    <w:rsid w:val="008E5B75"/>
    <w:rsid w:val="008F1380"/>
    <w:rsid w:val="008F2428"/>
    <w:rsid w:val="00903D67"/>
    <w:rsid w:val="009153D3"/>
    <w:rsid w:val="00917C1E"/>
    <w:rsid w:val="00931C8E"/>
    <w:rsid w:val="009333EF"/>
    <w:rsid w:val="00946275"/>
    <w:rsid w:val="0094661D"/>
    <w:rsid w:val="009470C5"/>
    <w:rsid w:val="00966055"/>
    <w:rsid w:val="00972FC3"/>
    <w:rsid w:val="00981014"/>
    <w:rsid w:val="009A2166"/>
    <w:rsid w:val="009B0C47"/>
    <w:rsid w:val="009B37C8"/>
    <w:rsid w:val="009E5449"/>
    <w:rsid w:val="00A02A92"/>
    <w:rsid w:val="00A02C1A"/>
    <w:rsid w:val="00A111D2"/>
    <w:rsid w:val="00A15654"/>
    <w:rsid w:val="00A258B6"/>
    <w:rsid w:val="00A44DF5"/>
    <w:rsid w:val="00A5052B"/>
    <w:rsid w:val="00A609C6"/>
    <w:rsid w:val="00A65A4A"/>
    <w:rsid w:val="00A93CA0"/>
    <w:rsid w:val="00AA21EC"/>
    <w:rsid w:val="00AA42F6"/>
    <w:rsid w:val="00AA76D7"/>
    <w:rsid w:val="00AE6DB4"/>
    <w:rsid w:val="00AF5553"/>
    <w:rsid w:val="00AF5D3F"/>
    <w:rsid w:val="00B0273E"/>
    <w:rsid w:val="00B31119"/>
    <w:rsid w:val="00B3596C"/>
    <w:rsid w:val="00B41130"/>
    <w:rsid w:val="00B4147B"/>
    <w:rsid w:val="00B4322A"/>
    <w:rsid w:val="00B44286"/>
    <w:rsid w:val="00B477D7"/>
    <w:rsid w:val="00B545BC"/>
    <w:rsid w:val="00B64492"/>
    <w:rsid w:val="00B72CB0"/>
    <w:rsid w:val="00BD08E8"/>
    <w:rsid w:val="00BF7F20"/>
    <w:rsid w:val="00C040A0"/>
    <w:rsid w:val="00C0508D"/>
    <w:rsid w:val="00C052D9"/>
    <w:rsid w:val="00C34F5B"/>
    <w:rsid w:val="00C52667"/>
    <w:rsid w:val="00C65520"/>
    <w:rsid w:val="00CA6C69"/>
    <w:rsid w:val="00CB1CE3"/>
    <w:rsid w:val="00CE4F6E"/>
    <w:rsid w:val="00CF3EA0"/>
    <w:rsid w:val="00D1051F"/>
    <w:rsid w:val="00D21DBE"/>
    <w:rsid w:val="00D245DE"/>
    <w:rsid w:val="00D24A4F"/>
    <w:rsid w:val="00D44AAC"/>
    <w:rsid w:val="00D674D6"/>
    <w:rsid w:val="00D7653D"/>
    <w:rsid w:val="00D83014"/>
    <w:rsid w:val="00DA5742"/>
    <w:rsid w:val="00E004A7"/>
    <w:rsid w:val="00E02F34"/>
    <w:rsid w:val="00E12753"/>
    <w:rsid w:val="00E26473"/>
    <w:rsid w:val="00E336FE"/>
    <w:rsid w:val="00E36ADA"/>
    <w:rsid w:val="00E4411A"/>
    <w:rsid w:val="00E72616"/>
    <w:rsid w:val="00EA03AD"/>
    <w:rsid w:val="00EC1B3F"/>
    <w:rsid w:val="00EC5DCC"/>
    <w:rsid w:val="00EC7516"/>
    <w:rsid w:val="00ED28F8"/>
    <w:rsid w:val="00ED43D1"/>
    <w:rsid w:val="00EE2E2A"/>
    <w:rsid w:val="00F11900"/>
    <w:rsid w:val="00F15CA5"/>
    <w:rsid w:val="00F22E46"/>
    <w:rsid w:val="00F230F4"/>
    <w:rsid w:val="00F27F03"/>
    <w:rsid w:val="00F32EA7"/>
    <w:rsid w:val="00FA0FB8"/>
    <w:rsid w:val="00FA7FCA"/>
    <w:rsid w:val="00FB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62E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character" w:customStyle="1" w:styleId="Zkladntext2">
    <w:name w:val="Základní text (2)_"/>
    <w:link w:val="Zkladntext20"/>
    <w:rsid w:val="00931C8E"/>
    <w:rPr>
      <w:rFonts w:ascii="Arial" w:eastAsia="Arial" w:hAnsi="Arial" w:cs="Arial"/>
      <w:shd w:val="clear" w:color="auto" w:fill="FFFFFF"/>
    </w:rPr>
  </w:style>
  <w:style w:type="character" w:customStyle="1" w:styleId="Nadpis1">
    <w:name w:val="Nadpis #1_"/>
    <w:link w:val="Nadpis10"/>
    <w:rsid w:val="00931C8E"/>
    <w:rPr>
      <w:rFonts w:ascii="Arial" w:eastAsia="Arial" w:hAnsi="Arial" w:cs="Arial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931C8E"/>
    <w:pPr>
      <w:widowControl w:val="0"/>
      <w:shd w:val="clear" w:color="auto" w:fill="FFFFFF"/>
      <w:spacing w:after="240" w:line="288" w:lineRule="exact"/>
      <w:jc w:val="both"/>
    </w:pPr>
    <w:rPr>
      <w:rFonts w:ascii="Arial" w:eastAsia="Arial" w:hAnsi="Arial" w:cs="Arial"/>
    </w:rPr>
  </w:style>
  <w:style w:type="paragraph" w:customStyle="1" w:styleId="Nadpis10">
    <w:name w:val="Nadpis #1"/>
    <w:basedOn w:val="Normln"/>
    <w:link w:val="Nadpis1"/>
    <w:rsid w:val="00931C8E"/>
    <w:pPr>
      <w:widowControl w:val="0"/>
      <w:shd w:val="clear" w:color="auto" w:fill="FFFFFF"/>
      <w:spacing w:before="240" w:after="0" w:line="288" w:lineRule="exact"/>
      <w:jc w:val="both"/>
      <w:outlineLvl w:val="0"/>
    </w:pPr>
    <w:rPr>
      <w:rFonts w:ascii="Arial" w:eastAsia="Arial" w:hAnsi="Arial" w:cs="Arial"/>
      <w:b/>
      <w:bCs/>
    </w:rPr>
  </w:style>
  <w:style w:type="paragraph" w:customStyle="1" w:styleId="xmsonormal">
    <w:name w:val="x_msonormal"/>
    <w:basedOn w:val="Normln"/>
    <w:rsid w:val="00CE4F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62E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1491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12</cp:revision>
  <cp:lastPrinted>2026-01-29T06:56:00Z</cp:lastPrinted>
  <dcterms:created xsi:type="dcterms:W3CDTF">2026-01-06T08:16:00Z</dcterms:created>
  <dcterms:modified xsi:type="dcterms:W3CDTF">2026-02-11T13:40:00Z</dcterms:modified>
</cp:coreProperties>
</file>